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8980" w:dyaOrig="4210">
          <v:rect xmlns:o="urn:schemas-microsoft-com:office:office" xmlns:v="urn:schemas-microsoft-com:vml" id="rectole0000000000" style="width:449.000000pt;height:21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Комфортная городская среда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hanging="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начале этого года на территории Республики Карелия в соответствии с поручением Президента РФ началась реализация приоритетного проекта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Комфортная городская среда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Это масштабный проект, целью которого является повышение качества жизни и комфорта населенных пунктов, благоустройство территорий</w:t>
      </w:r>
    </w:p>
    <w:p>
      <w:pPr>
        <w:spacing w:before="0" w:after="0" w:line="276"/>
        <w:ind w:right="0" w:left="0" w:hanging="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финансирование мероприятий в 2017 году на д. Вилга и п.Новая Вилга выделен 1000036 руб. </w:t>
      </w:r>
    </w:p>
    <w:p>
      <w:pPr>
        <w:spacing w:before="0" w:after="0" w:line="276"/>
        <w:ind w:right="0" w:left="0" w:hanging="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Обязательным условием является непосредственное участие жителей в отборе и реализации проектов, а также в организации общественного контроля и софинансировании не менее 3% от стоимости проекта.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Жителям необходимо было подать заявку в администрацию Нововилговского сельского поселения  до 20.02.2017 года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 подачи заявок:185506,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Прионежский р-н,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 Новая  Вилга,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ул. Центральная, 5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т/ф. (8142)786830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администрацию было подано 2 заявки на благоустройство дворовых территорий: д.10 по Студенческому б-ру в д.Вилга(установка скамеек и обустройство детской площадки) и д.1 по ул. Л.Рохлина в д. Вилга( устройство асфальтового покрытия проезда вдоль  жилого дома), которые были допущены к участию в конкурсе, а так же 1 заявка на благоустройство общественной территории(Устройство сети наружного освещения "Универсальной спортивной площадки в п. Новая Вилга") в последствии допущенной к участию в  конкурсе.(более подробная информация в разделе "Реализуемые проекты в 2017 году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http://nova-vilga.ru/ru/5896/5909/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Ознакомится с условиями участия в проекте, а также получить форму заявки можно на официальном интернет - портале правительства Республики Карелия, где открылся новый раздел, посвященный реализации приоритетного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Комфортная городская среда"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http://gov.karelia.ru/Projects/comfort.html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Здесь также можно ознакомится с нормативными документами и следить за новостями по данной теме.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портала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Комфортная городская среда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доступен так же по ссылке  на сайте Минстроя России: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http://www.minstroyrf.ru/upload/iblock/e55/prezentatsiya_prioritetnogo_proekta_01.pdf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 в Государственной информационной системе жилищно-коммунального хозяйства: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https://sreda.dom.gosuslugi.ru/</w:t>
        </w:r>
      </w:hyperlink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Виды возможных работ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благоустройству в рамках приоритетного проекта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Комфортная городская среда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4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Возможные виды работ по благоустройству дворовых территорий многоквартирных домов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Минимальный перечень видов работ по благоустройству дворовых территорий многоквартирных домов:</w:t>
      </w:r>
    </w:p>
    <w:p>
      <w:p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Ремонт дворовых проездов;</w:t>
      </w:r>
    </w:p>
    <w:p>
      <w:p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освещения дворовых территорий;</w:t>
      </w:r>
    </w:p>
    <w:p>
      <w:p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Установка скамеек, урн для мусора;</w:t>
      </w:r>
    </w:p>
    <w:p>
      <w:p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Иные виды работ.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Перечень дополнительных видов работ по благоустройству дворовых территорий:</w:t>
      </w:r>
    </w:p>
    <w:p>
      <w:pPr>
        <w:numPr>
          <w:ilvl w:val="0"/>
          <w:numId w:val="14"/>
        </w:num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Оборудование детских и (или) спортивных площадок;</w:t>
      </w:r>
    </w:p>
    <w:p>
      <w:pPr>
        <w:numPr>
          <w:ilvl w:val="0"/>
          <w:numId w:val="14"/>
        </w:num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Оборудование автомобильных парковок;</w:t>
      </w:r>
    </w:p>
    <w:p>
      <w:pPr>
        <w:numPr>
          <w:ilvl w:val="0"/>
          <w:numId w:val="14"/>
        </w:num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Озеленение территорий;</w:t>
      </w:r>
    </w:p>
    <w:p>
      <w:pPr>
        <w:numPr>
          <w:ilvl w:val="0"/>
          <w:numId w:val="14"/>
        </w:numPr>
        <w:spacing w:before="0" w:after="0" w:line="276"/>
        <w:ind w:right="0" w:left="709" w:hanging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Иные виды работ.</w:t>
      </w:r>
    </w:p>
    <w:p>
      <w:pPr>
        <w:spacing w:before="0" w:after="24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4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Примечание: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Перечень работ утверждается решением собрания собственников жилых помещений многоквартирных домов, оформляется протоколом.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Возможные виды проектов и территорий для благоустройства муниципальных территорий общего пользования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9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парков/скверов/бульваров;</w:t>
      </w:r>
    </w:p>
    <w:p>
      <w:pPr>
        <w:numPr>
          <w:ilvl w:val="0"/>
          <w:numId w:val="19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Освещение улицы/парка/сквера/бульвара;</w:t>
      </w:r>
    </w:p>
    <w:p>
      <w:pPr>
        <w:spacing w:before="0" w:after="0" w:line="276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справочно: при этом, необходимо учитывать ограниченность реализации мероприятий по времени (2017 год) и в этой связи рекомендуется предлагать указанные мероприятия в тех случаях, когда они будут носить достаточно локальный характер;</w:t>
      </w:r>
    </w:p>
    <w:p>
      <w:pPr>
        <w:numPr>
          <w:ilvl w:val="0"/>
          <w:numId w:val="21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набережной;</w:t>
      </w:r>
    </w:p>
    <w:p>
      <w:pPr>
        <w:spacing w:before="0" w:after="0" w:line="276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справочно: при этом, необходимо учитывать ограниченность реализации мероприятий по времени (2017 год) и в этой связи набережную рекомендуется предлагать в тех случаях, когда она достаточно локальная;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места для купания (пляжа);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городских площадей (как правило, центральных);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территории возле общественного здания (как правило, дом культуры или библиотека);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или организация муниципальных рынков;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пустырей;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кладбища;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Благоустройство территории вокруг памятника;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Установка памятников;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Реконструкция пешеходных зон (тротуаров) с обустройством зон отдыха (лавочек и пр.) на конкретной улице;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Реконструкция мостов/переездов внутри поселений;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Устройство или реконструкция детской площадки;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Обустройство родников;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Очистка водоемов;</w:t>
      </w:r>
    </w:p>
    <w:p>
      <w:pPr>
        <w:numPr>
          <w:ilvl w:val="0"/>
          <w:numId w:val="23"/>
        </w:numPr>
        <w:spacing w:before="0" w:after="0" w:line="276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Иные объекты.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Примечание: Проект по благоустройству муниципальных территорий общего пользования утверждается решением собрания жителей населённого пункта, оформляется протоколом.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4">
    <w:abstractNumId w:val="18"/>
  </w:num>
  <w:num w:numId="19">
    <w:abstractNumId w:val="12"/>
  </w:num>
  <w:num w:numId="21">
    <w:abstractNumId w:val="6"/>
  </w:num>
  <w:num w:numId="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Mode="External" Target="http://gov.karelia.ru/Projects/comfort.html" Id="docRId3" Type="http://schemas.openxmlformats.org/officeDocument/2006/relationships/hyperlink"/><Relationship TargetMode="External" Target="https://sreda.dom.gosuslugi.ru/" Id="docRId5" Type="http://schemas.openxmlformats.org/officeDocument/2006/relationships/hyperlink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Mode="External" Target="http://nova-vilga.ru/ru/5896/5909/" Id="docRId2" Type="http://schemas.openxmlformats.org/officeDocument/2006/relationships/hyperlink"/><Relationship TargetMode="External" Target="http://www.minstroyrf.ru/upload/iblock/e55/prezentatsiya_prioritetnogo_proekta_01.pdf" Id="docRId4" Type="http://schemas.openxmlformats.org/officeDocument/2006/relationships/hyperlink"/><Relationship Target="numbering.xml" Id="docRId6" Type="http://schemas.openxmlformats.org/officeDocument/2006/relationships/numbering"/></Relationships>
</file>